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013</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13</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（二）地块位置：惠城区高新科技产业园南部片区B-11-02地块；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（三）地块编号：B-11-02；</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w:t>
      </w:r>
      <w:r>
        <w:rPr>
          <w:rFonts w:hint="eastAsia" w:ascii="仿宋_GB2312" w:hAnsi="仿宋_GB2312" w:eastAsia="仿宋_GB2312" w:cs="仿宋_GB2312"/>
          <w:sz w:val="32"/>
          <w:szCs w:val="32"/>
          <w:highlight w:val="none"/>
          <w:shd w:val="clear" w:color="auto" w:fill="auto"/>
          <w:lang w:val="en-US" w:eastAsia="zh-CN"/>
        </w:rPr>
        <w:t>220008号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宗地使用权面积为：8831.49平方米；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（六）计算指标用地面积为：12768平方米；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（七）计容积率建筑面积：17876-31920（其中配套设施面积≥95）；</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（八）容积率为：1.4</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（十三）产业类型：通信设备、计算机及其他电子设备制造业；</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22982</w:t>
      </w:r>
      <w:bookmarkStart w:id="8" w:name="_GoBack"/>
      <w:bookmarkEnd w:id="8"/>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20008</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kern w:val="0"/>
          <w:sz w:val="32"/>
          <w:szCs w:val="32"/>
          <w:lang w:val="en-US" w:eastAsia="zh-CN" w:bidi="ar-SA"/>
        </w:rPr>
        <w:t>规划布局为1栋地上9层的厂房、1栋地上6层配套服务楼，计算指标用地面积12768平方米，计容积率建筑面积31920平方米（其中生活服务设施建筑面积占比14.4%），容积率2.5，建筑密度30.4%，建筑首层占地面积为3887平方米（其中生活服务设施基底面积占用地面积比6.98%），绿地率15%，机动车停车位129个（其中地面57个，首层架空停车72个）。 所报方案技术指标符合《规划设计条件告知书》（PB20220008）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18000元/平方米，土地产出率（营业收入）不低于19000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spacing w:line="560" w:lineRule="exact"/>
        <w:ind w:left="10" w:leftChars="0" w:firstLine="617" w:firstLineChars="193"/>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p>
    <w:p>
      <w:pPr>
        <w:keepNext w:val="0"/>
        <w:keepLines w:val="0"/>
        <w:pageBreakBefore w:val="0"/>
        <w:widowControl w:val="0"/>
        <w:numPr>
          <w:ilvl w:val="0"/>
          <w:numId w:val="0"/>
        </w:numPr>
        <w:kinsoku/>
        <w:wordWrap/>
        <w:overflowPunct/>
        <w:topLinePunct w:val="0"/>
        <w:autoSpaceDE/>
        <w:autoSpaceDN/>
        <w:bidi w:val="0"/>
        <w:spacing w:line="560" w:lineRule="exact"/>
        <w:ind w:left="10" w:leftChars="0" w:firstLine="617" w:firstLineChars="19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numPr>
          <w:ilvl w:val="0"/>
          <w:numId w:val="1"/>
        </w:numPr>
        <w:kinsoku/>
        <w:wordWrap/>
        <w:overflowPunct/>
        <w:topLinePunct w:val="0"/>
        <w:autoSpaceDE/>
        <w:autoSpaceDN/>
        <w:bidi w:val="0"/>
        <w:spacing w:line="560" w:lineRule="exact"/>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其他条件</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color w:val="auto"/>
          <w:sz w:val="32"/>
          <w:szCs w:val="32"/>
        </w:rPr>
      </w:pPr>
      <w:r>
        <w:rPr>
          <w:rFonts w:hint="default" w:ascii="仿宋_GB2312" w:hAnsi="宋体" w:eastAsia="仿宋_GB2312" w:cs="宋体"/>
          <w:kern w:val="0"/>
          <w:sz w:val="32"/>
          <w:szCs w:val="32"/>
          <w:lang w:val="en-US" w:eastAsia="zh-CN" w:bidi="ar-SA"/>
        </w:rPr>
        <w:t>为满足今后企业</w:t>
      </w:r>
      <w:r>
        <w:rPr>
          <w:rFonts w:hint="eastAsia" w:ascii="仿宋_GB2312" w:hAnsi="宋体" w:eastAsia="仿宋_GB2312" w:cs="宋体"/>
          <w:kern w:val="0"/>
          <w:sz w:val="32"/>
          <w:szCs w:val="32"/>
          <w:lang w:val="en-US" w:eastAsia="zh-CN" w:bidi="ar-SA"/>
        </w:rPr>
        <w:t>用地需求</w:t>
      </w:r>
      <w:r>
        <w:rPr>
          <w:rFonts w:hint="default"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根据供电配电需求，</w:t>
      </w:r>
      <w:r>
        <w:rPr>
          <w:rFonts w:hint="default" w:ascii="仿宋_GB2312" w:hAnsi="宋体" w:eastAsia="仿宋_GB2312" w:cs="宋体"/>
          <w:kern w:val="0"/>
          <w:sz w:val="32"/>
          <w:szCs w:val="32"/>
          <w:lang w:val="en-US" w:eastAsia="zh-CN" w:bidi="ar-SA"/>
        </w:rPr>
        <w:t>取得以上地块使用权利人需承担在地块内配建一个建筑面积≧60㎡，建筑占地面积≧60㎡的</w:t>
      </w:r>
      <w:r>
        <w:rPr>
          <w:rFonts w:hint="eastAsia" w:ascii="仿宋_GB2312" w:hAnsi="宋体" w:eastAsia="仿宋_GB2312" w:cs="宋体"/>
          <w:kern w:val="0"/>
          <w:sz w:val="32"/>
          <w:szCs w:val="32"/>
          <w:lang w:val="en-US" w:eastAsia="zh-CN" w:bidi="ar-SA"/>
        </w:rPr>
        <w:t>园区</w:t>
      </w:r>
      <w:r>
        <w:rPr>
          <w:rFonts w:hint="default" w:ascii="仿宋_GB2312" w:hAnsi="宋体" w:eastAsia="仿宋_GB2312" w:cs="宋体"/>
          <w:kern w:val="0"/>
          <w:sz w:val="32"/>
          <w:szCs w:val="32"/>
          <w:lang w:val="en-US" w:eastAsia="zh-CN" w:bidi="ar-SA"/>
        </w:rPr>
        <w:t>供电开关</w:t>
      </w:r>
      <w:r>
        <w:rPr>
          <w:rFonts w:hint="eastAsia" w:ascii="仿宋_GB2312" w:hAnsi="宋体" w:eastAsia="仿宋_GB2312" w:cs="宋体"/>
          <w:kern w:val="0"/>
          <w:sz w:val="32"/>
          <w:szCs w:val="32"/>
          <w:lang w:val="en-US" w:eastAsia="zh-CN" w:bidi="ar-SA"/>
        </w:rPr>
        <w:t>站</w:t>
      </w:r>
      <w:r>
        <w:rPr>
          <w:rFonts w:hint="default" w:ascii="仿宋_GB2312" w:hAnsi="宋体" w:eastAsia="仿宋_GB2312" w:cs="宋体"/>
          <w:kern w:val="0"/>
          <w:sz w:val="32"/>
          <w:szCs w:val="32"/>
          <w:lang w:val="en-US" w:eastAsia="zh-CN" w:bidi="ar-SA"/>
        </w:rPr>
        <w:t>配套用房，建成后无偿交给惠城区政府相关部门管理使用。</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390</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sz w:val="32"/>
          <w:szCs w:val="32"/>
        </w:rPr>
        <w:t>竞买人须提交惠城区发改局出具的与该宗地块产业类型一致的优先发展产业项目文件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壹仟叁佰万元整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1300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6月7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20008</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叁佰玖拾万元整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390</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2022年5月17日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61025"/>
    <w:multiLevelType w:val="singleLevel"/>
    <w:tmpl w:val="1F661025"/>
    <w:lvl w:ilvl="0" w:tentative="0">
      <w:start w:val="7"/>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BB2A35"/>
    <w:rsid w:val="04F7599A"/>
    <w:rsid w:val="05280DC9"/>
    <w:rsid w:val="054F511E"/>
    <w:rsid w:val="05616BEE"/>
    <w:rsid w:val="05AA6043"/>
    <w:rsid w:val="062E1CCB"/>
    <w:rsid w:val="065D58C0"/>
    <w:rsid w:val="06E22DF8"/>
    <w:rsid w:val="071F73B3"/>
    <w:rsid w:val="077D5D24"/>
    <w:rsid w:val="07F629A0"/>
    <w:rsid w:val="091E26EA"/>
    <w:rsid w:val="09317644"/>
    <w:rsid w:val="097F0039"/>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98319A"/>
    <w:rsid w:val="33A33367"/>
    <w:rsid w:val="33CE0AAA"/>
    <w:rsid w:val="34836833"/>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15158D"/>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AFF2E69"/>
    <w:rsid w:val="4B8E7FA9"/>
    <w:rsid w:val="4BA610FC"/>
    <w:rsid w:val="4BC3115D"/>
    <w:rsid w:val="4BEE1CA4"/>
    <w:rsid w:val="4CF51C39"/>
    <w:rsid w:val="4D1F6077"/>
    <w:rsid w:val="4DC8070E"/>
    <w:rsid w:val="4E0017E7"/>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60096844"/>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2022-05-10T02:51:00Z</cp:lastPrinted>
  <dcterms:modified xsi:type="dcterms:W3CDTF">2022-05-17T08:16:18Z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